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B28BC" w14:textId="77777777" w:rsidR="00061A26" w:rsidRDefault="006B4779">
      <w:pPr>
        <w:spacing w:line="590" w:lineRule="exact"/>
        <w:jc w:val="center"/>
        <w:rPr>
          <w:rFonts w:ascii="方正小标宋简体" w:eastAsia="方正小标宋简体" w:hAnsi="方正小标宋简体" w:cs="方正小标宋简体"/>
          <w:sz w:val="44"/>
          <w:szCs w:val="44"/>
        </w:rPr>
      </w:pPr>
      <w:r w:rsidRPr="006B4779">
        <w:rPr>
          <w:rFonts w:ascii="方正小标宋简体" w:eastAsia="方正小标宋简体" w:hAnsi="方正小标宋简体" w:cs="方正小标宋简体" w:hint="eastAsia"/>
          <w:sz w:val="44"/>
          <w:szCs w:val="44"/>
          <w:highlight w:val="yellow"/>
        </w:rPr>
        <w:t>XX</w:t>
      </w:r>
      <w:r w:rsidRPr="006B4779">
        <w:rPr>
          <w:rFonts w:ascii="方正小标宋简体" w:eastAsia="方正小标宋简体" w:hAnsi="方正小标宋简体" w:cs="方正小标宋简体" w:hint="eastAsia"/>
          <w:sz w:val="44"/>
          <w:szCs w:val="44"/>
          <w:highlight w:val="yellow"/>
        </w:rPr>
        <w:t>单位</w:t>
      </w:r>
    </w:p>
    <w:p w14:paraId="7D56975A" w14:textId="77777777" w:rsidR="00061A26" w:rsidRDefault="006B4779">
      <w:pPr>
        <w:spacing w:line="59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内部控制风险评估报告</w:t>
      </w:r>
    </w:p>
    <w:p w14:paraId="7DF94D7B"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为切实加强经济活动风险评估管理，对经济活动存在的风险进行全面、系统和客观评估，降低单位日常运行风险。根据《行政事业单位内部控制规范（试行）》（财会〔</w:t>
      </w:r>
      <w:r>
        <w:rPr>
          <w:rFonts w:ascii="仿宋_GB2312" w:eastAsia="仿宋_GB2312" w:hAnsi="仿宋_GB2312" w:cs="仿宋_GB2312" w:hint="eastAsia"/>
          <w:sz w:val="32"/>
          <w:szCs w:val="32"/>
        </w:rPr>
        <w:t>2012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号）文件精神，结合工作实际，开展本次风险评估。</w:t>
      </w:r>
    </w:p>
    <w:p w14:paraId="601E5634" w14:textId="77777777" w:rsidR="00061A26" w:rsidRDefault="006B4779">
      <w:pPr>
        <w:numPr>
          <w:ilvl w:val="0"/>
          <w:numId w:val="1"/>
        </w:numPr>
        <w:adjustRightInd w:val="0"/>
        <w:spacing w:line="590" w:lineRule="exact"/>
        <w:ind w:firstLineChars="200" w:firstLine="640"/>
        <w:rPr>
          <w:rFonts w:ascii="黑体" w:eastAsia="黑体" w:hAnsi="黑体" w:cs="黑体"/>
          <w:sz w:val="32"/>
          <w:szCs w:val="32"/>
        </w:rPr>
      </w:pPr>
      <w:r>
        <w:rPr>
          <w:rFonts w:ascii="黑体" w:eastAsia="黑体" w:hAnsi="黑体" w:cs="黑体" w:hint="eastAsia"/>
          <w:sz w:val="32"/>
          <w:szCs w:val="32"/>
        </w:rPr>
        <w:t>风险评估总体目标</w:t>
      </w:r>
    </w:p>
    <w:p w14:paraId="06DDDFBD"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风险指预期对单位目标实现具有不确定性的影响因素。按照相关文件要求，本次风险评估工作的总体目标为：</w:t>
      </w:r>
    </w:p>
    <w:p w14:paraId="08DCF6C8" w14:textId="77777777" w:rsidR="00061A26" w:rsidRDefault="006B4779">
      <w:pPr>
        <w:numPr>
          <w:ilvl w:val="0"/>
          <w:numId w:val="2"/>
        </w:numPr>
        <w:spacing w:line="590" w:lineRule="exact"/>
        <w:ind w:firstLineChars="200" w:firstLine="640"/>
        <w:rPr>
          <w:rFonts w:ascii="楷体_GB2312" w:eastAsia="楷体_GB2312" w:hAnsi="楷体" w:cs="仿宋_GB2312"/>
          <w:sz w:val="32"/>
          <w:szCs w:val="32"/>
        </w:rPr>
      </w:pPr>
      <w:r>
        <w:rPr>
          <w:rFonts w:ascii="楷体_GB2312" w:eastAsia="楷体_GB2312" w:hAnsi="楷体" w:cs="仿宋_GB2312" w:hint="eastAsia"/>
          <w:sz w:val="32"/>
          <w:szCs w:val="32"/>
        </w:rPr>
        <w:t>合理保证单位经济活动合法合</w:t>
      </w:r>
      <w:proofErr w:type="gramStart"/>
      <w:r>
        <w:rPr>
          <w:rFonts w:ascii="楷体_GB2312" w:eastAsia="楷体_GB2312" w:hAnsi="楷体" w:cs="仿宋_GB2312" w:hint="eastAsia"/>
          <w:sz w:val="32"/>
          <w:szCs w:val="32"/>
        </w:rPr>
        <w:t>规</w:t>
      </w:r>
      <w:proofErr w:type="gramEnd"/>
      <w:r>
        <w:rPr>
          <w:rFonts w:ascii="楷体_GB2312" w:eastAsia="楷体_GB2312" w:hAnsi="楷体" w:cs="仿宋_GB2312" w:hint="eastAsia"/>
          <w:sz w:val="32"/>
          <w:szCs w:val="32"/>
        </w:rPr>
        <w:t>；</w:t>
      </w:r>
    </w:p>
    <w:p w14:paraId="1FF41513" w14:textId="77777777" w:rsidR="00061A26" w:rsidRDefault="006B4779">
      <w:pPr>
        <w:numPr>
          <w:ilvl w:val="0"/>
          <w:numId w:val="2"/>
        </w:numPr>
        <w:spacing w:line="590" w:lineRule="exact"/>
        <w:ind w:firstLineChars="200" w:firstLine="640"/>
        <w:rPr>
          <w:rFonts w:ascii="楷体_GB2312" w:eastAsia="楷体_GB2312" w:hAnsi="楷体" w:cs="仿宋_GB2312"/>
          <w:sz w:val="32"/>
          <w:szCs w:val="32"/>
        </w:rPr>
      </w:pPr>
      <w:r>
        <w:rPr>
          <w:rFonts w:ascii="楷体_GB2312" w:eastAsia="楷体_GB2312" w:hAnsi="楷体" w:cs="仿宋_GB2312" w:hint="eastAsia"/>
          <w:sz w:val="32"/>
          <w:szCs w:val="32"/>
        </w:rPr>
        <w:t>合理保证资产安全和使用有效；</w:t>
      </w:r>
    </w:p>
    <w:p w14:paraId="71D93924" w14:textId="77777777" w:rsidR="00061A26" w:rsidRDefault="006B4779">
      <w:pPr>
        <w:numPr>
          <w:ilvl w:val="0"/>
          <w:numId w:val="2"/>
        </w:numPr>
        <w:spacing w:line="590" w:lineRule="exact"/>
        <w:ind w:firstLineChars="200" w:firstLine="640"/>
        <w:rPr>
          <w:rFonts w:ascii="楷体_GB2312" w:eastAsia="楷体_GB2312" w:hAnsi="楷体" w:cs="仿宋_GB2312"/>
          <w:sz w:val="32"/>
          <w:szCs w:val="32"/>
        </w:rPr>
      </w:pPr>
      <w:r>
        <w:rPr>
          <w:rFonts w:ascii="楷体_GB2312" w:eastAsia="楷体_GB2312" w:hAnsi="楷体" w:cs="仿宋_GB2312" w:hint="eastAsia"/>
          <w:sz w:val="32"/>
          <w:szCs w:val="32"/>
        </w:rPr>
        <w:t>合理保证财务信息真实完整；</w:t>
      </w:r>
    </w:p>
    <w:p w14:paraId="3571FF9B" w14:textId="77777777" w:rsidR="00061A26" w:rsidRDefault="006B4779">
      <w:pPr>
        <w:numPr>
          <w:ilvl w:val="0"/>
          <w:numId w:val="2"/>
        </w:numPr>
        <w:spacing w:line="590" w:lineRule="exact"/>
        <w:ind w:firstLineChars="200" w:firstLine="640"/>
        <w:rPr>
          <w:rFonts w:ascii="楷体_GB2312" w:eastAsia="楷体_GB2312" w:hAnsi="楷体" w:cs="仿宋_GB2312"/>
          <w:sz w:val="32"/>
          <w:szCs w:val="32"/>
        </w:rPr>
      </w:pPr>
      <w:r>
        <w:rPr>
          <w:rFonts w:ascii="楷体_GB2312" w:eastAsia="楷体_GB2312" w:hAnsi="楷体" w:cs="仿宋_GB2312" w:hint="eastAsia"/>
          <w:sz w:val="32"/>
          <w:szCs w:val="32"/>
        </w:rPr>
        <w:t>有效防范舞弊和预防腐败；</w:t>
      </w:r>
    </w:p>
    <w:p w14:paraId="7167BBF1" w14:textId="77777777" w:rsidR="00061A26" w:rsidRDefault="006B4779">
      <w:pPr>
        <w:numPr>
          <w:ilvl w:val="0"/>
          <w:numId w:val="2"/>
        </w:numPr>
        <w:spacing w:line="590" w:lineRule="exact"/>
        <w:ind w:firstLineChars="200" w:firstLine="640"/>
        <w:rPr>
          <w:rFonts w:ascii="楷体_GB2312" w:eastAsia="楷体_GB2312" w:hAnsi="楷体" w:cs="仿宋_GB2312"/>
          <w:sz w:val="32"/>
          <w:szCs w:val="32"/>
        </w:rPr>
      </w:pPr>
      <w:r>
        <w:rPr>
          <w:rFonts w:ascii="楷体_GB2312" w:eastAsia="楷体_GB2312" w:hAnsi="楷体" w:cs="仿宋_GB2312" w:hint="eastAsia"/>
          <w:sz w:val="32"/>
          <w:szCs w:val="32"/>
        </w:rPr>
        <w:t>提高公共服务的效率和效果。</w:t>
      </w:r>
    </w:p>
    <w:p w14:paraId="33A1F633" w14:textId="77777777" w:rsidR="00061A26" w:rsidRDefault="006B4779">
      <w:pPr>
        <w:numPr>
          <w:ilvl w:val="0"/>
          <w:numId w:val="1"/>
        </w:numPr>
        <w:spacing w:line="590" w:lineRule="exact"/>
        <w:ind w:firstLineChars="200" w:firstLine="640"/>
        <w:rPr>
          <w:rFonts w:ascii="黑体" w:eastAsia="黑体" w:hAnsi="黑体" w:cs="黑体"/>
          <w:sz w:val="32"/>
          <w:szCs w:val="32"/>
        </w:rPr>
      </w:pPr>
      <w:r>
        <w:rPr>
          <w:rFonts w:ascii="黑体" w:eastAsia="黑体" w:hAnsi="黑体" w:cs="黑体" w:hint="eastAsia"/>
          <w:sz w:val="32"/>
          <w:szCs w:val="32"/>
        </w:rPr>
        <w:t>风险评估范围</w:t>
      </w:r>
    </w:p>
    <w:p w14:paraId="676EE0DC"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风险评估重点梳理了单位层面及业务层面风险，单位层面主要关注点包括：内部控制机构设置风险、内部控制机制建设风险、关键岗位人员管理风险、信息系统风险，业务层面风险主要关注点包括：预算管理、收支管理、政府采购管理、资产管理、建设项目管理、合同管理等经济活动存在的风险。</w:t>
      </w:r>
    </w:p>
    <w:p w14:paraId="23B54C10" w14:textId="77777777" w:rsidR="00061A26" w:rsidRDefault="006B4779">
      <w:pPr>
        <w:numPr>
          <w:ilvl w:val="0"/>
          <w:numId w:val="1"/>
        </w:numPr>
        <w:spacing w:line="590" w:lineRule="exact"/>
        <w:ind w:firstLineChars="200" w:firstLine="640"/>
        <w:rPr>
          <w:rFonts w:ascii="黑体" w:eastAsia="黑体" w:hAnsi="黑体" w:cs="黑体"/>
          <w:sz w:val="32"/>
          <w:szCs w:val="32"/>
        </w:rPr>
      </w:pPr>
      <w:r>
        <w:rPr>
          <w:rFonts w:ascii="黑体" w:eastAsia="黑体" w:hAnsi="黑体" w:cs="黑体" w:hint="eastAsia"/>
          <w:sz w:val="32"/>
          <w:szCs w:val="32"/>
        </w:rPr>
        <w:t>风险评估组织保障</w:t>
      </w:r>
    </w:p>
    <w:p w14:paraId="7D33CA1D" w14:textId="77777777" w:rsidR="00061A26" w:rsidRDefault="006B4779">
      <w:pPr>
        <w:spacing w:line="590" w:lineRule="exact"/>
        <w:ind w:firstLine="42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成立风险评估工作小组</w:t>
      </w:r>
      <w:r>
        <w:rPr>
          <w:rFonts w:ascii="仿宋_GB2312" w:eastAsia="仿宋_GB2312" w:hAnsi="仿宋_GB2312" w:cs="仿宋_GB2312" w:hint="eastAsia"/>
          <w:sz w:val="32"/>
          <w:szCs w:val="32"/>
        </w:rPr>
        <w:t>组织开展本次风险评估工作。</w:t>
      </w:r>
    </w:p>
    <w:p w14:paraId="46DDC59A" w14:textId="77777777" w:rsidR="00061A26" w:rsidRDefault="006B4779">
      <w:pPr>
        <w:numPr>
          <w:ilvl w:val="0"/>
          <w:numId w:val="1"/>
        </w:numPr>
        <w:spacing w:line="590" w:lineRule="exact"/>
        <w:ind w:firstLineChars="200" w:firstLine="640"/>
        <w:rPr>
          <w:rFonts w:ascii="黑体" w:eastAsia="黑体" w:hAnsi="黑体" w:cs="黑体"/>
          <w:sz w:val="32"/>
          <w:szCs w:val="32"/>
        </w:rPr>
      </w:pPr>
      <w:r>
        <w:rPr>
          <w:rFonts w:ascii="黑体" w:eastAsia="黑体" w:hAnsi="黑体" w:cs="黑体" w:hint="eastAsia"/>
          <w:sz w:val="32"/>
          <w:szCs w:val="32"/>
        </w:rPr>
        <w:t>风险评估程序和方法</w:t>
      </w:r>
    </w:p>
    <w:p w14:paraId="44F28394" w14:textId="77777777" w:rsidR="00061A26" w:rsidRDefault="006B4779">
      <w:pPr>
        <w:spacing w:line="590" w:lineRule="exact"/>
        <w:ind w:firstLine="420"/>
        <w:rPr>
          <w:rFonts w:ascii="仿宋_GB2312" w:eastAsia="仿宋_GB2312" w:hAnsi="仿宋_GB2312" w:cs="仿宋_GB2312"/>
          <w:sz w:val="32"/>
          <w:szCs w:val="32"/>
        </w:rPr>
      </w:pPr>
      <w:r>
        <w:rPr>
          <w:rFonts w:ascii="仿宋_GB2312" w:eastAsia="仿宋_GB2312" w:hAnsi="仿宋_GB2312" w:cs="仿宋_GB2312" w:hint="eastAsia"/>
          <w:sz w:val="32"/>
          <w:szCs w:val="32"/>
        </w:rPr>
        <w:t>单位风险评估实施步骤分为建立风险评估基础、风险识别、风险分析与评估、应对风险、形成报告五个步骤。</w:t>
      </w:r>
    </w:p>
    <w:p w14:paraId="26AEAE6B" w14:textId="77777777" w:rsidR="00061A26" w:rsidRDefault="006B4779">
      <w:pPr>
        <w:spacing w:line="590" w:lineRule="exact"/>
        <w:ind w:firstLine="643"/>
        <w:rPr>
          <w:rFonts w:ascii="楷体_GB2312" w:eastAsia="楷体_GB2312" w:hAnsi="仿宋_GB2312" w:cs="仿宋_GB2312"/>
          <w:b/>
          <w:bCs/>
          <w:sz w:val="32"/>
          <w:szCs w:val="32"/>
        </w:rPr>
      </w:pPr>
      <w:r>
        <w:rPr>
          <w:rFonts w:ascii="楷体_GB2312" w:eastAsia="楷体_GB2312" w:hAnsi="仿宋_GB2312" w:cs="仿宋_GB2312" w:hint="eastAsia"/>
          <w:b/>
          <w:bCs/>
          <w:sz w:val="32"/>
          <w:szCs w:val="32"/>
        </w:rPr>
        <w:t>（一）建立风险评估基础</w:t>
      </w:r>
    </w:p>
    <w:p w14:paraId="1665F6B2"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结合单位实际情况，</w:t>
      </w:r>
      <w:proofErr w:type="gramStart"/>
      <w:r>
        <w:rPr>
          <w:rFonts w:ascii="仿宋_GB2312" w:eastAsia="仿宋_GB2312" w:hAnsi="仿宋_GB2312" w:cs="仿宋_GB2312" w:hint="eastAsia"/>
          <w:sz w:val="32"/>
          <w:szCs w:val="32"/>
        </w:rPr>
        <w:t>由风险</w:t>
      </w:r>
      <w:proofErr w:type="gramEnd"/>
      <w:r>
        <w:rPr>
          <w:rFonts w:ascii="仿宋_GB2312" w:eastAsia="仿宋_GB2312" w:hAnsi="仿宋_GB2312" w:cs="仿宋_GB2312" w:hint="eastAsia"/>
          <w:sz w:val="32"/>
          <w:szCs w:val="32"/>
        </w:rPr>
        <w:t>评估工作小组牵头，建立单位风险评估标准，并拟定风险评估调研表。综合风险发生的可能性和影响程度，将风险等级分为</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级（对应高</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中</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低风险）。其中风险等级相应判定标准如下：</w:t>
      </w:r>
    </w:p>
    <w:p w14:paraId="60B5CA80"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风险发生的可能性</w:t>
      </w:r>
    </w:p>
    <w:p w14:paraId="39268769"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根据风险的具体情况，可以采用定性及定量评估方法对风险发生可能性分析。定性方法主要从日常管理中可能发生的潜在风险进行分析并确定不同的可能性程度；定量方法主要是通过历史数据统计出一定时期</w:t>
      </w:r>
      <w:proofErr w:type="gramStart"/>
      <w:r>
        <w:rPr>
          <w:rFonts w:ascii="仿宋_GB2312" w:eastAsia="仿宋_GB2312" w:hAnsi="仿宋_GB2312" w:cs="仿宋_GB2312" w:hint="eastAsia"/>
          <w:sz w:val="32"/>
          <w:szCs w:val="32"/>
        </w:rPr>
        <w:t>内风险</w:t>
      </w:r>
      <w:proofErr w:type="gramEnd"/>
      <w:r>
        <w:rPr>
          <w:rFonts w:ascii="仿宋_GB2312" w:eastAsia="仿宋_GB2312" w:hAnsi="仿宋_GB2312" w:cs="仿宋_GB2312" w:hint="eastAsia"/>
          <w:sz w:val="32"/>
          <w:szCs w:val="32"/>
        </w:rPr>
        <w:t>发生概率作为标准进行评估。</w:t>
      </w:r>
    </w:p>
    <w:p w14:paraId="1625AB1A"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按照定性与定量的分析方法对风险发生的可能性确定三个级别，分别是：低、中、高三</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级别，依次对应</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至</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分：具体的划分标准如下表：</w:t>
      </w:r>
    </w:p>
    <w:tbl>
      <w:tblPr>
        <w:tblStyle w:val="a7"/>
        <w:tblW w:w="8625" w:type="dxa"/>
        <w:tblLayout w:type="fixed"/>
        <w:tblLook w:val="04A0" w:firstRow="1" w:lastRow="0" w:firstColumn="1" w:lastColumn="0" w:noHBand="0" w:noVBand="1"/>
      </w:tblPr>
      <w:tblGrid>
        <w:gridCol w:w="1022"/>
        <w:gridCol w:w="2898"/>
        <w:gridCol w:w="1568"/>
        <w:gridCol w:w="1534"/>
        <w:gridCol w:w="1603"/>
      </w:tblGrid>
      <w:tr w:rsidR="00061A26" w14:paraId="36F856B3" w14:textId="77777777">
        <w:tc>
          <w:tcPr>
            <w:tcW w:w="1022" w:type="dxa"/>
            <w:vMerge w:val="restart"/>
            <w:vAlign w:val="center"/>
          </w:tcPr>
          <w:p w14:paraId="3E21C3C3" w14:textId="77777777" w:rsidR="00061A26" w:rsidRDefault="006B4779">
            <w:pPr>
              <w:spacing w:line="590" w:lineRule="exact"/>
              <w:rPr>
                <w:rFonts w:ascii="仿宋_GB2312" w:eastAsia="仿宋_GB2312" w:hAnsi="仿宋_GB2312" w:cs="仿宋_GB2312"/>
                <w:b/>
                <w:sz w:val="24"/>
              </w:rPr>
            </w:pPr>
            <w:r>
              <w:rPr>
                <w:rFonts w:ascii="仿宋_GB2312" w:eastAsia="仿宋_GB2312" w:hAnsi="仿宋_GB2312" w:cs="仿宋_GB2312" w:hint="eastAsia"/>
                <w:b/>
                <w:sz w:val="24"/>
              </w:rPr>
              <w:t>评估</w:t>
            </w:r>
          </w:p>
          <w:p w14:paraId="305FD5F9" w14:textId="77777777" w:rsidR="00061A26" w:rsidRDefault="006B4779">
            <w:pPr>
              <w:spacing w:line="590" w:lineRule="exact"/>
              <w:rPr>
                <w:rFonts w:ascii="仿宋_GB2312" w:eastAsia="仿宋_GB2312" w:hAnsi="仿宋_GB2312" w:cs="仿宋_GB2312"/>
                <w:b/>
                <w:sz w:val="24"/>
              </w:rPr>
            </w:pPr>
            <w:r>
              <w:rPr>
                <w:rFonts w:ascii="仿宋_GB2312" w:eastAsia="仿宋_GB2312" w:hAnsi="仿宋_GB2312" w:cs="仿宋_GB2312" w:hint="eastAsia"/>
                <w:b/>
                <w:sz w:val="24"/>
              </w:rPr>
              <w:t>方法</w:t>
            </w:r>
          </w:p>
        </w:tc>
        <w:tc>
          <w:tcPr>
            <w:tcW w:w="2898" w:type="dxa"/>
            <w:vMerge w:val="restart"/>
            <w:vAlign w:val="center"/>
          </w:tcPr>
          <w:p w14:paraId="67A08BE5" w14:textId="77777777" w:rsidR="00061A26" w:rsidRDefault="006B4779">
            <w:pPr>
              <w:spacing w:line="590" w:lineRule="exact"/>
              <w:rPr>
                <w:rFonts w:ascii="仿宋_GB2312" w:eastAsia="仿宋_GB2312" w:hAnsi="仿宋_GB2312" w:cs="仿宋_GB2312"/>
                <w:b/>
                <w:sz w:val="24"/>
              </w:rPr>
            </w:pPr>
            <w:r>
              <w:rPr>
                <w:rFonts w:ascii="仿宋_GB2312" w:eastAsia="仿宋_GB2312" w:hAnsi="仿宋_GB2312" w:cs="仿宋_GB2312" w:hint="eastAsia"/>
                <w:b/>
                <w:sz w:val="24"/>
              </w:rPr>
              <w:t>评估标准</w:t>
            </w:r>
          </w:p>
        </w:tc>
        <w:tc>
          <w:tcPr>
            <w:tcW w:w="1568" w:type="dxa"/>
            <w:vAlign w:val="center"/>
          </w:tcPr>
          <w:p w14:paraId="1523B340" w14:textId="77777777" w:rsidR="00061A26" w:rsidRDefault="006B4779">
            <w:pPr>
              <w:spacing w:line="590" w:lineRule="exact"/>
              <w:rPr>
                <w:rFonts w:ascii="仿宋_GB2312" w:eastAsia="仿宋_GB2312" w:hAnsi="仿宋_GB2312" w:cs="仿宋_GB2312"/>
                <w:b/>
                <w:sz w:val="24"/>
              </w:rPr>
            </w:pPr>
            <w:r>
              <w:rPr>
                <w:rFonts w:ascii="仿宋_GB2312" w:eastAsia="仿宋_GB2312" w:hAnsi="仿宋_GB2312" w:cs="仿宋_GB2312" w:hint="eastAsia"/>
                <w:b/>
                <w:sz w:val="24"/>
              </w:rPr>
              <w:t>低</w:t>
            </w:r>
          </w:p>
        </w:tc>
        <w:tc>
          <w:tcPr>
            <w:tcW w:w="1534" w:type="dxa"/>
            <w:vAlign w:val="center"/>
          </w:tcPr>
          <w:p w14:paraId="15A056AD" w14:textId="77777777" w:rsidR="00061A26" w:rsidRDefault="006B4779">
            <w:pPr>
              <w:spacing w:line="590" w:lineRule="exact"/>
              <w:rPr>
                <w:rFonts w:ascii="仿宋_GB2312" w:eastAsia="仿宋_GB2312" w:hAnsi="仿宋_GB2312" w:cs="仿宋_GB2312"/>
                <w:b/>
                <w:sz w:val="24"/>
              </w:rPr>
            </w:pPr>
            <w:r>
              <w:rPr>
                <w:rFonts w:ascii="仿宋_GB2312" w:eastAsia="仿宋_GB2312" w:hAnsi="仿宋_GB2312" w:cs="仿宋_GB2312" w:hint="eastAsia"/>
                <w:b/>
                <w:sz w:val="24"/>
              </w:rPr>
              <w:t>中等</w:t>
            </w:r>
          </w:p>
        </w:tc>
        <w:tc>
          <w:tcPr>
            <w:tcW w:w="1603" w:type="dxa"/>
            <w:vAlign w:val="center"/>
          </w:tcPr>
          <w:p w14:paraId="4329D5B5" w14:textId="77777777" w:rsidR="00061A26" w:rsidRDefault="006B4779">
            <w:pPr>
              <w:spacing w:line="590" w:lineRule="exact"/>
              <w:rPr>
                <w:rFonts w:ascii="仿宋_GB2312" w:eastAsia="仿宋_GB2312" w:hAnsi="仿宋_GB2312" w:cs="仿宋_GB2312"/>
                <w:b/>
                <w:sz w:val="24"/>
              </w:rPr>
            </w:pPr>
            <w:r>
              <w:rPr>
                <w:rFonts w:ascii="仿宋_GB2312" w:eastAsia="仿宋_GB2312" w:hAnsi="仿宋_GB2312" w:cs="仿宋_GB2312" w:hint="eastAsia"/>
                <w:b/>
                <w:sz w:val="24"/>
              </w:rPr>
              <w:t>高</w:t>
            </w:r>
          </w:p>
        </w:tc>
      </w:tr>
      <w:tr w:rsidR="00061A26" w14:paraId="0B2F21B6" w14:textId="77777777">
        <w:tc>
          <w:tcPr>
            <w:tcW w:w="1022" w:type="dxa"/>
            <w:vMerge/>
            <w:vAlign w:val="center"/>
          </w:tcPr>
          <w:p w14:paraId="7022D19D" w14:textId="77777777" w:rsidR="00061A26" w:rsidRDefault="00061A26">
            <w:pPr>
              <w:spacing w:line="590" w:lineRule="exact"/>
              <w:rPr>
                <w:rFonts w:ascii="仿宋_GB2312" w:eastAsia="仿宋_GB2312" w:hAnsi="仿宋_GB2312" w:cs="仿宋_GB2312"/>
                <w:b/>
                <w:sz w:val="24"/>
              </w:rPr>
            </w:pPr>
          </w:p>
        </w:tc>
        <w:tc>
          <w:tcPr>
            <w:tcW w:w="2898" w:type="dxa"/>
            <w:vMerge/>
            <w:vAlign w:val="center"/>
          </w:tcPr>
          <w:p w14:paraId="02D063E8" w14:textId="77777777" w:rsidR="00061A26" w:rsidRDefault="00061A26">
            <w:pPr>
              <w:spacing w:line="590" w:lineRule="exact"/>
              <w:rPr>
                <w:rFonts w:ascii="仿宋_GB2312" w:eastAsia="仿宋_GB2312" w:hAnsi="仿宋_GB2312" w:cs="仿宋_GB2312"/>
                <w:b/>
                <w:sz w:val="24"/>
              </w:rPr>
            </w:pPr>
          </w:p>
        </w:tc>
        <w:tc>
          <w:tcPr>
            <w:tcW w:w="1568" w:type="dxa"/>
            <w:vAlign w:val="center"/>
          </w:tcPr>
          <w:p w14:paraId="0F95761A" w14:textId="77777777" w:rsidR="00061A26" w:rsidRDefault="006B4779">
            <w:pPr>
              <w:spacing w:line="590" w:lineRule="exact"/>
              <w:rPr>
                <w:rFonts w:ascii="仿宋_GB2312" w:eastAsia="仿宋_GB2312" w:hAnsi="仿宋_GB2312" w:cs="仿宋_GB2312"/>
                <w:b/>
                <w:sz w:val="24"/>
              </w:rPr>
            </w:pPr>
            <w:r>
              <w:rPr>
                <w:rFonts w:ascii="仿宋_GB2312" w:eastAsia="仿宋_GB2312" w:hAnsi="仿宋_GB2312" w:cs="仿宋_GB2312" w:hint="eastAsia"/>
                <w:b/>
                <w:sz w:val="24"/>
              </w:rPr>
              <w:t>1</w:t>
            </w:r>
            <w:r>
              <w:rPr>
                <w:rFonts w:ascii="仿宋_GB2312" w:eastAsia="仿宋_GB2312" w:hAnsi="仿宋_GB2312" w:cs="仿宋_GB2312" w:hint="eastAsia"/>
                <w:b/>
                <w:sz w:val="24"/>
              </w:rPr>
              <w:t>分</w:t>
            </w:r>
          </w:p>
        </w:tc>
        <w:tc>
          <w:tcPr>
            <w:tcW w:w="1534" w:type="dxa"/>
            <w:vAlign w:val="center"/>
          </w:tcPr>
          <w:p w14:paraId="73E08D79" w14:textId="77777777" w:rsidR="00061A26" w:rsidRDefault="006B4779">
            <w:pPr>
              <w:spacing w:line="590" w:lineRule="exact"/>
              <w:rPr>
                <w:rFonts w:ascii="仿宋_GB2312" w:eastAsia="仿宋_GB2312" w:hAnsi="仿宋_GB2312" w:cs="仿宋_GB2312"/>
                <w:b/>
                <w:sz w:val="24"/>
              </w:rPr>
            </w:pPr>
            <w:r>
              <w:rPr>
                <w:rFonts w:ascii="仿宋_GB2312" w:eastAsia="仿宋_GB2312" w:hAnsi="仿宋_GB2312" w:cs="仿宋_GB2312" w:hint="eastAsia"/>
                <w:b/>
                <w:sz w:val="24"/>
              </w:rPr>
              <w:t>2</w:t>
            </w:r>
            <w:r>
              <w:rPr>
                <w:rFonts w:ascii="仿宋_GB2312" w:eastAsia="仿宋_GB2312" w:hAnsi="仿宋_GB2312" w:cs="仿宋_GB2312" w:hint="eastAsia"/>
                <w:b/>
                <w:sz w:val="24"/>
              </w:rPr>
              <w:t>分</w:t>
            </w:r>
          </w:p>
        </w:tc>
        <w:tc>
          <w:tcPr>
            <w:tcW w:w="1603" w:type="dxa"/>
            <w:vAlign w:val="center"/>
          </w:tcPr>
          <w:p w14:paraId="08A05D7C" w14:textId="77777777" w:rsidR="00061A26" w:rsidRDefault="006B4779">
            <w:pPr>
              <w:spacing w:line="590" w:lineRule="exact"/>
              <w:rPr>
                <w:rFonts w:ascii="仿宋_GB2312" w:eastAsia="仿宋_GB2312" w:hAnsi="仿宋_GB2312" w:cs="仿宋_GB2312"/>
                <w:b/>
                <w:sz w:val="24"/>
              </w:rPr>
            </w:pPr>
            <w:r>
              <w:rPr>
                <w:rFonts w:ascii="仿宋_GB2312" w:eastAsia="仿宋_GB2312" w:hAnsi="仿宋_GB2312" w:cs="仿宋_GB2312" w:hint="eastAsia"/>
                <w:b/>
                <w:sz w:val="24"/>
              </w:rPr>
              <w:t>3</w:t>
            </w:r>
            <w:r>
              <w:rPr>
                <w:rFonts w:ascii="仿宋_GB2312" w:eastAsia="仿宋_GB2312" w:hAnsi="仿宋_GB2312" w:cs="仿宋_GB2312" w:hint="eastAsia"/>
                <w:b/>
                <w:sz w:val="24"/>
              </w:rPr>
              <w:t>分</w:t>
            </w:r>
          </w:p>
        </w:tc>
      </w:tr>
      <w:tr w:rsidR="00061A26" w14:paraId="596EDECA" w14:textId="77777777">
        <w:tc>
          <w:tcPr>
            <w:tcW w:w="1022" w:type="dxa"/>
            <w:vAlign w:val="center"/>
          </w:tcPr>
          <w:p w14:paraId="2A2CF76B"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定性</w:t>
            </w:r>
          </w:p>
          <w:p w14:paraId="1A1C9578"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方法</w:t>
            </w:r>
          </w:p>
        </w:tc>
        <w:tc>
          <w:tcPr>
            <w:tcW w:w="2898" w:type="dxa"/>
            <w:vAlign w:val="center"/>
          </w:tcPr>
          <w:p w14:paraId="559EEF04"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针对日常工作中可能发生的潜在风险</w:t>
            </w:r>
          </w:p>
        </w:tc>
        <w:tc>
          <w:tcPr>
            <w:tcW w:w="1568" w:type="dxa"/>
            <w:vAlign w:val="center"/>
          </w:tcPr>
          <w:p w14:paraId="4D443ECD"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极少情况下会发生</w:t>
            </w:r>
          </w:p>
        </w:tc>
        <w:tc>
          <w:tcPr>
            <w:tcW w:w="1534" w:type="dxa"/>
            <w:vAlign w:val="center"/>
          </w:tcPr>
          <w:p w14:paraId="4E2A09DA"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某些情况下发生</w:t>
            </w:r>
          </w:p>
        </w:tc>
        <w:tc>
          <w:tcPr>
            <w:tcW w:w="1603" w:type="dxa"/>
            <w:vAlign w:val="center"/>
          </w:tcPr>
          <w:p w14:paraId="3DC8BFB2"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较多情况下发生</w:t>
            </w:r>
          </w:p>
        </w:tc>
      </w:tr>
      <w:tr w:rsidR="00061A26" w14:paraId="72C51976" w14:textId="77777777">
        <w:tc>
          <w:tcPr>
            <w:tcW w:w="1022" w:type="dxa"/>
            <w:vAlign w:val="center"/>
          </w:tcPr>
          <w:p w14:paraId="0D65BE08"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lastRenderedPageBreak/>
              <w:t>定量</w:t>
            </w:r>
          </w:p>
          <w:p w14:paraId="1337F9CC"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方法</w:t>
            </w:r>
          </w:p>
        </w:tc>
        <w:tc>
          <w:tcPr>
            <w:tcW w:w="2898" w:type="dxa"/>
            <w:vAlign w:val="center"/>
          </w:tcPr>
          <w:p w14:paraId="6576C61F"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通过历史数据统计出一定时期</w:t>
            </w:r>
            <w:proofErr w:type="gramStart"/>
            <w:r>
              <w:rPr>
                <w:rFonts w:ascii="仿宋_GB2312" w:eastAsia="仿宋_GB2312" w:hAnsi="仿宋_GB2312" w:cs="仿宋_GB2312" w:hint="eastAsia"/>
                <w:sz w:val="24"/>
              </w:rPr>
              <w:t>内风险</w:t>
            </w:r>
            <w:proofErr w:type="gramEnd"/>
            <w:r>
              <w:rPr>
                <w:rFonts w:ascii="仿宋_GB2312" w:eastAsia="仿宋_GB2312" w:hAnsi="仿宋_GB2312" w:cs="仿宋_GB2312" w:hint="eastAsia"/>
                <w:sz w:val="24"/>
              </w:rPr>
              <w:t>发生概率的风险</w:t>
            </w:r>
          </w:p>
        </w:tc>
        <w:tc>
          <w:tcPr>
            <w:tcW w:w="1568" w:type="dxa"/>
            <w:vAlign w:val="center"/>
          </w:tcPr>
          <w:p w14:paraId="189B8A40"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发生概率</w:t>
            </w:r>
            <w:r>
              <w:rPr>
                <w:rFonts w:ascii="仿宋_GB2312" w:eastAsia="仿宋_GB2312" w:hAnsi="仿宋_GB2312" w:cs="仿宋_GB2312" w:hint="eastAsia"/>
                <w:sz w:val="24"/>
              </w:rPr>
              <w:t>0%-30%</w:t>
            </w:r>
          </w:p>
        </w:tc>
        <w:tc>
          <w:tcPr>
            <w:tcW w:w="1534" w:type="dxa"/>
            <w:vAlign w:val="center"/>
          </w:tcPr>
          <w:p w14:paraId="22137DD0"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发生概率</w:t>
            </w:r>
            <w:r>
              <w:rPr>
                <w:rFonts w:ascii="仿宋_GB2312" w:eastAsia="仿宋_GB2312" w:hAnsi="仿宋_GB2312" w:cs="仿宋_GB2312" w:hint="eastAsia"/>
                <w:sz w:val="24"/>
              </w:rPr>
              <w:t>30%-70%</w:t>
            </w:r>
          </w:p>
        </w:tc>
        <w:tc>
          <w:tcPr>
            <w:tcW w:w="1603" w:type="dxa"/>
            <w:vAlign w:val="center"/>
          </w:tcPr>
          <w:p w14:paraId="60CE4FC1"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发生概率</w:t>
            </w:r>
          </w:p>
          <w:p w14:paraId="65D68BFB"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70%-100%</w:t>
            </w:r>
          </w:p>
        </w:tc>
      </w:tr>
    </w:tbl>
    <w:p w14:paraId="0E6EB8AF"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风险影响程度</w:t>
      </w:r>
    </w:p>
    <w:p w14:paraId="48AFCBF1"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风险影响程度是</w:t>
      </w:r>
      <w:proofErr w:type="gramStart"/>
      <w:r>
        <w:rPr>
          <w:rFonts w:ascii="仿宋_GB2312" w:eastAsia="仿宋_GB2312" w:hAnsi="仿宋_GB2312" w:cs="仿宋_GB2312" w:hint="eastAsia"/>
          <w:sz w:val="32"/>
          <w:szCs w:val="32"/>
        </w:rPr>
        <w:t>指风险</w:t>
      </w:r>
      <w:proofErr w:type="gramEnd"/>
      <w:r>
        <w:rPr>
          <w:rFonts w:ascii="仿宋_GB2312" w:eastAsia="仿宋_GB2312" w:hAnsi="仿宋_GB2312" w:cs="仿宋_GB2312" w:hint="eastAsia"/>
          <w:sz w:val="32"/>
          <w:szCs w:val="32"/>
        </w:rPr>
        <w:t>事件发生对单位所造成的影响的广度与深度，对于风险影响程度也确定三个级次，分别为低、中、高</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个级别，依次对应</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至</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分。对风险事件所造成的影响主要从财务收支、日常管理、法律法规的遵循三个方面考虑。考虑财务损失是采用定量的方法，以造成的损失金额大小为参照指标，确定风险影响程度的级别。考虑日常管理与法律法规的遵循时采用定性的方法，确定风险影响程度的级别。具体的划分标准如下表：</w:t>
      </w:r>
    </w:p>
    <w:tbl>
      <w:tblPr>
        <w:tblStyle w:val="a7"/>
        <w:tblW w:w="8522" w:type="dxa"/>
        <w:tblLayout w:type="fixed"/>
        <w:tblLook w:val="04A0" w:firstRow="1" w:lastRow="0" w:firstColumn="1" w:lastColumn="0" w:noHBand="0" w:noVBand="1"/>
      </w:tblPr>
      <w:tblGrid>
        <w:gridCol w:w="886"/>
        <w:gridCol w:w="1661"/>
        <w:gridCol w:w="1984"/>
        <w:gridCol w:w="1985"/>
        <w:gridCol w:w="2006"/>
      </w:tblGrid>
      <w:tr w:rsidR="00061A26" w14:paraId="23523F37" w14:textId="77777777">
        <w:tc>
          <w:tcPr>
            <w:tcW w:w="886" w:type="dxa"/>
            <w:vMerge w:val="restart"/>
            <w:vAlign w:val="center"/>
          </w:tcPr>
          <w:p w14:paraId="1B2FC980"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评估</w:t>
            </w:r>
          </w:p>
          <w:p w14:paraId="1351EB06"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方法</w:t>
            </w:r>
          </w:p>
        </w:tc>
        <w:tc>
          <w:tcPr>
            <w:tcW w:w="1661" w:type="dxa"/>
            <w:vMerge w:val="restart"/>
            <w:vAlign w:val="center"/>
          </w:tcPr>
          <w:p w14:paraId="48B20F82"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评估标准</w:t>
            </w:r>
          </w:p>
        </w:tc>
        <w:tc>
          <w:tcPr>
            <w:tcW w:w="1984" w:type="dxa"/>
            <w:vAlign w:val="center"/>
          </w:tcPr>
          <w:p w14:paraId="7209CF42"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低</w:t>
            </w:r>
          </w:p>
        </w:tc>
        <w:tc>
          <w:tcPr>
            <w:tcW w:w="1985" w:type="dxa"/>
            <w:vAlign w:val="center"/>
          </w:tcPr>
          <w:p w14:paraId="7D60F96E"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中</w:t>
            </w:r>
          </w:p>
        </w:tc>
        <w:tc>
          <w:tcPr>
            <w:tcW w:w="2006" w:type="dxa"/>
            <w:vAlign w:val="center"/>
          </w:tcPr>
          <w:p w14:paraId="0C4DE4E1"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高</w:t>
            </w:r>
          </w:p>
        </w:tc>
      </w:tr>
      <w:tr w:rsidR="00061A26" w14:paraId="1DCDC47D" w14:textId="77777777">
        <w:tc>
          <w:tcPr>
            <w:tcW w:w="886" w:type="dxa"/>
            <w:vMerge/>
            <w:vAlign w:val="center"/>
          </w:tcPr>
          <w:p w14:paraId="254FF2A7" w14:textId="77777777" w:rsidR="00061A26" w:rsidRDefault="00061A26">
            <w:pPr>
              <w:spacing w:line="590" w:lineRule="exact"/>
              <w:rPr>
                <w:rFonts w:ascii="仿宋_GB2312" w:eastAsia="仿宋_GB2312" w:hAnsi="仿宋_GB2312" w:cs="仿宋_GB2312"/>
                <w:sz w:val="24"/>
              </w:rPr>
            </w:pPr>
          </w:p>
        </w:tc>
        <w:tc>
          <w:tcPr>
            <w:tcW w:w="1661" w:type="dxa"/>
            <w:vMerge/>
            <w:vAlign w:val="center"/>
          </w:tcPr>
          <w:p w14:paraId="071CCA10" w14:textId="77777777" w:rsidR="00061A26" w:rsidRDefault="00061A26">
            <w:pPr>
              <w:spacing w:line="590" w:lineRule="exact"/>
              <w:rPr>
                <w:rFonts w:ascii="仿宋_GB2312" w:eastAsia="仿宋_GB2312" w:hAnsi="仿宋_GB2312" w:cs="仿宋_GB2312"/>
                <w:sz w:val="24"/>
              </w:rPr>
            </w:pPr>
          </w:p>
        </w:tc>
        <w:tc>
          <w:tcPr>
            <w:tcW w:w="1984" w:type="dxa"/>
            <w:vAlign w:val="center"/>
          </w:tcPr>
          <w:p w14:paraId="76806FAC"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分</w:t>
            </w:r>
          </w:p>
        </w:tc>
        <w:tc>
          <w:tcPr>
            <w:tcW w:w="1985" w:type="dxa"/>
            <w:vAlign w:val="center"/>
          </w:tcPr>
          <w:p w14:paraId="38490B9A"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分</w:t>
            </w:r>
          </w:p>
        </w:tc>
        <w:tc>
          <w:tcPr>
            <w:tcW w:w="2006" w:type="dxa"/>
            <w:vAlign w:val="center"/>
          </w:tcPr>
          <w:p w14:paraId="654EDEFF"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分</w:t>
            </w:r>
          </w:p>
        </w:tc>
      </w:tr>
      <w:tr w:rsidR="00061A26" w14:paraId="26B7570C" w14:textId="77777777">
        <w:tc>
          <w:tcPr>
            <w:tcW w:w="886" w:type="dxa"/>
            <w:vAlign w:val="center"/>
          </w:tcPr>
          <w:p w14:paraId="79F7BFCE"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定量方法</w:t>
            </w:r>
          </w:p>
        </w:tc>
        <w:tc>
          <w:tcPr>
            <w:tcW w:w="1661" w:type="dxa"/>
            <w:vAlign w:val="center"/>
          </w:tcPr>
          <w:p w14:paraId="30863E38"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财务方面的损失金额</w:t>
            </w:r>
          </w:p>
        </w:tc>
        <w:tc>
          <w:tcPr>
            <w:tcW w:w="1984" w:type="dxa"/>
            <w:vAlign w:val="center"/>
          </w:tcPr>
          <w:p w14:paraId="290DB1E7"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较低的财务损失</w:t>
            </w:r>
          </w:p>
        </w:tc>
        <w:tc>
          <w:tcPr>
            <w:tcW w:w="1985" w:type="dxa"/>
            <w:vAlign w:val="center"/>
          </w:tcPr>
          <w:p w14:paraId="0D6EB04E"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中等的财务损失</w:t>
            </w:r>
          </w:p>
        </w:tc>
        <w:tc>
          <w:tcPr>
            <w:tcW w:w="2006" w:type="dxa"/>
            <w:vAlign w:val="center"/>
          </w:tcPr>
          <w:p w14:paraId="6A6E5B74"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重大的财务损失</w:t>
            </w:r>
          </w:p>
        </w:tc>
      </w:tr>
      <w:tr w:rsidR="00061A26" w14:paraId="7C78899D" w14:textId="77777777">
        <w:tc>
          <w:tcPr>
            <w:tcW w:w="886" w:type="dxa"/>
            <w:vMerge w:val="restart"/>
            <w:vAlign w:val="center"/>
          </w:tcPr>
          <w:p w14:paraId="62931C08"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定性</w:t>
            </w:r>
          </w:p>
          <w:p w14:paraId="40A75358"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方法</w:t>
            </w:r>
          </w:p>
        </w:tc>
        <w:tc>
          <w:tcPr>
            <w:tcW w:w="1661" w:type="dxa"/>
            <w:vAlign w:val="center"/>
          </w:tcPr>
          <w:p w14:paraId="6E353B25"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日常管理方面</w:t>
            </w:r>
          </w:p>
        </w:tc>
        <w:tc>
          <w:tcPr>
            <w:tcW w:w="1984" w:type="dxa"/>
            <w:vAlign w:val="center"/>
          </w:tcPr>
          <w:p w14:paraId="0B2AF507"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对单位日常管理有轻微的影响，情况立刻受到控制。</w:t>
            </w:r>
          </w:p>
        </w:tc>
        <w:tc>
          <w:tcPr>
            <w:tcW w:w="1985" w:type="dxa"/>
            <w:vAlign w:val="center"/>
          </w:tcPr>
          <w:p w14:paraId="0A06C751"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对单位日常管理有中度的影响，情况需要外部单位协助才能得到控制。</w:t>
            </w:r>
          </w:p>
        </w:tc>
        <w:tc>
          <w:tcPr>
            <w:tcW w:w="2006" w:type="dxa"/>
            <w:vAlign w:val="center"/>
          </w:tcPr>
          <w:p w14:paraId="411923A0"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对单位日常管理有极大的影响，情况失控。</w:t>
            </w:r>
          </w:p>
        </w:tc>
      </w:tr>
      <w:tr w:rsidR="00061A26" w14:paraId="235EC797" w14:textId="77777777">
        <w:tc>
          <w:tcPr>
            <w:tcW w:w="886" w:type="dxa"/>
            <w:vMerge/>
            <w:vAlign w:val="center"/>
          </w:tcPr>
          <w:p w14:paraId="374439BB" w14:textId="77777777" w:rsidR="00061A26" w:rsidRDefault="00061A26">
            <w:pPr>
              <w:spacing w:line="590" w:lineRule="exact"/>
              <w:rPr>
                <w:rFonts w:ascii="仿宋_GB2312" w:eastAsia="仿宋_GB2312" w:hAnsi="仿宋_GB2312" w:cs="仿宋_GB2312"/>
                <w:sz w:val="24"/>
              </w:rPr>
            </w:pPr>
          </w:p>
        </w:tc>
        <w:tc>
          <w:tcPr>
            <w:tcW w:w="1661" w:type="dxa"/>
            <w:vAlign w:val="center"/>
          </w:tcPr>
          <w:p w14:paraId="4F6791C6"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法律法规遵循方面</w:t>
            </w:r>
          </w:p>
        </w:tc>
        <w:tc>
          <w:tcPr>
            <w:tcW w:w="1984" w:type="dxa"/>
            <w:vAlign w:val="center"/>
          </w:tcPr>
          <w:p w14:paraId="535046C6"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存在轻微的违反法律法规问题</w:t>
            </w:r>
          </w:p>
        </w:tc>
        <w:tc>
          <w:tcPr>
            <w:tcW w:w="1985" w:type="dxa"/>
            <w:vAlign w:val="center"/>
          </w:tcPr>
          <w:p w14:paraId="49B7FEB5"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违反法规，导致监管科室、司法机构的调查或诉讼，伴随着一定的罚款或诉讼的损失。</w:t>
            </w:r>
          </w:p>
        </w:tc>
        <w:tc>
          <w:tcPr>
            <w:tcW w:w="2006" w:type="dxa"/>
            <w:vAlign w:val="center"/>
          </w:tcPr>
          <w:p w14:paraId="32B34B5C" w14:textId="77777777" w:rsidR="00061A26" w:rsidRDefault="006B4779">
            <w:pPr>
              <w:spacing w:line="590" w:lineRule="exact"/>
              <w:rPr>
                <w:rFonts w:ascii="仿宋_GB2312" w:eastAsia="仿宋_GB2312" w:hAnsi="仿宋_GB2312" w:cs="仿宋_GB2312"/>
                <w:sz w:val="24"/>
              </w:rPr>
            </w:pPr>
            <w:r>
              <w:rPr>
                <w:rFonts w:ascii="仿宋_GB2312" w:eastAsia="仿宋_GB2312" w:hAnsi="仿宋_GB2312" w:cs="仿宋_GB2312" w:hint="eastAsia"/>
                <w:sz w:val="24"/>
              </w:rPr>
              <w:t>严重违反法规，导致监管科室、司法机构的调查和重大诉讼、行政、经济处罚，或非常严重的集体诉讼。</w:t>
            </w:r>
          </w:p>
        </w:tc>
      </w:tr>
    </w:tbl>
    <w:p w14:paraId="061BA40E" w14:textId="77777777" w:rsidR="00061A26" w:rsidRDefault="006B4779">
      <w:pPr>
        <w:spacing w:line="59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bCs/>
          <w:sz w:val="32"/>
          <w:szCs w:val="32"/>
        </w:rPr>
        <w:t>3</w:t>
      </w:r>
      <w:r>
        <w:rPr>
          <w:rFonts w:ascii="仿宋_GB2312" w:eastAsia="仿宋_GB2312" w:hAnsi="仿宋_GB2312" w:cs="仿宋_GB2312" w:hint="eastAsia"/>
          <w:bCs/>
          <w:sz w:val="32"/>
          <w:szCs w:val="32"/>
        </w:rPr>
        <w:t>、风险系数及风险分级标准</w:t>
      </w:r>
    </w:p>
    <w:p w14:paraId="6D716967" w14:textId="77777777" w:rsidR="00061A26" w:rsidRDefault="006B4779">
      <w:pPr>
        <w:spacing w:line="590" w:lineRule="exact"/>
        <w:ind w:firstLine="643"/>
        <w:rPr>
          <w:rFonts w:ascii="仿宋_GB2312" w:eastAsia="仿宋_GB2312" w:hAnsi="Arial"/>
          <w:b/>
          <w:sz w:val="32"/>
        </w:rPr>
      </w:pPr>
      <w:r>
        <w:rPr>
          <w:rFonts w:ascii="仿宋_GB2312" w:eastAsia="仿宋_GB2312" w:hAnsi="Arial" w:hint="eastAsia"/>
          <w:b/>
          <w:sz w:val="32"/>
        </w:rPr>
        <w:t>风险系数公式：</w:t>
      </w:r>
    </w:p>
    <w:p w14:paraId="32E576BA" w14:textId="77777777" w:rsidR="00061A26" w:rsidRDefault="006B4779">
      <w:pPr>
        <w:spacing w:line="590" w:lineRule="exact"/>
        <w:ind w:firstLine="640"/>
        <w:rPr>
          <w:rFonts w:ascii="仿宋_GB2312" w:eastAsia="仿宋_GB2312" w:hAnsi="Arial"/>
          <w:sz w:val="32"/>
        </w:rPr>
      </w:pPr>
      <w:r>
        <w:rPr>
          <w:rFonts w:ascii="仿宋_GB2312" w:eastAsia="仿宋_GB2312" w:hAnsi="Arial" w:hint="eastAsia"/>
          <w:sz w:val="32"/>
        </w:rPr>
        <w:t>风险系数</w:t>
      </w:r>
      <w:r>
        <w:rPr>
          <w:rFonts w:ascii="仿宋_GB2312" w:eastAsia="仿宋_GB2312" w:hAnsi="Arial" w:hint="eastAsia"/>
          <w:sz w:val="32"/>
        </w:rPr>
        <w:t xml:space="preserve"> = </w:t>
      </w:r>
      <w:r>
        <w:rPr>
          <w:rFonts w:ascii="仿宋_GB2312" w:eastAsia="仿宋_GB2312" w:hAnsi="Arial"/>
          <w:sz w:val="32"/>
        </w:rPr>
        <w:t>(</w:t>
      </w:r>
      <w:r>
        <w:rPr>
          <w:rFonts w:ascii="仿宋_GB2312" w:eastAsia="仿宋_GB2312" w:hAnsi="Arial" w:hint="eastAsia"/>
          <w:sz w:val="32"/>
        </w:rPr>
        <w:t>风险发生的可能性得分</w:t>
      </w:r>
      <w:r>
        <w:rPr>
          <w:rFonts w:ascii="仿宋_GB2312" w:eastAsia="仿宋_GB2312" w:hAnsi="Arial" w:hint="eastAsia"/>
          <w:sz w:val="32"/>
        </w:rPr>
        <w:t>*</w:t>
      </w:r>
      <w:r>
        <w:rPr>
          <w:rFonts w:ascii="仿宋_GB2312" w:eastAsia="仿宋_GB2312" w:hAnsi="Arial" w:hint="eastAsia"/>
          <w:sz w:val="32"/>
        </w:rPr>
        <w:t>风险影响程度得分</w:t>
      </w:r>
      <w:r>
        <w:rPr>
          <w:rFonts w:ascii="仿宋_GB2312" w:eastAsia="仿宋_GB2312" w:hAnsi="Arial" w:hint="eastAsia"/>
          <w:sz w:val="32"/>
        </w:rPr>
        <w:t>)/</w:t>
      </w:r>
      <w:r>
        <w:rPr>
          <w:rFonts w:ascii="仿宋_GB2312" w:eastAsia="仿宋_GB2312" w:hAnsi="Arial" w:hint="eastAsia"/>
          <w:sz w:val="32"/>
        </w:rPr>
        <w:t>（</w:t>
      </w:r>
      <w:r>
        <w:rPr>
          <w:rFonts w:ascii="仿宋_GB2312" w:eastAsia="仿宋_GB2312" w:hAnsi="Arial"/>
          <w:sz w:val="32"/>
        </w:rPr>
        <w:t>3</w:t>
      </w:r>
      <w:r>
        <w:rPr>
          <w:rFonts w:ascii="仿宋_GB2312" w:eastAsia="仿宋_GB2312" w:hAnsi="Arial" w:hint="eastAsia"/>
          <w:sz w:val="32"/>
        </w:rPr>
        <w:t>*</w:t>
      </w:r>
      <w:r>
        <w:rPr>
          <w:rFonts w:ascii="仿宋_GB2312" w:eastAsia="仿宋_GB2312" w:hAnsi="Arial"/>
          <w:sz w:val="32"/>
        </w:rPr>
        <w:t>3</w:t>
      </w:r>
      <w:r>
        <w:rPr>
          <w:rFonts w:ascii="仿宋_GB2312" w:eastAsia="仿宋_GB2312" w:hAnsi="Arial" w:hint="eastAsia"/>
          <w:sz w:val="32"/>
        </w:rPr>
        <w:t>）。</w:t>
      </w:r>
    </w:p>
    <w:p w14:paraId="28087D09" w14:textId="77777777" w:rsidR="00061A26" w:rsidRDefault="006B4779">
      <w:pPr>
        <w:spacing w:line="590" w:lineRule="exact"/>
        <w:ind w:firstLine="640"/>
        <w:rPr>
          <w:rFonts w:ascii="仿宋_GB2312" w:eastAsia="仿宋_GB2312" w:hAnsi="Arial"/>
          <w:sz w:val="32"/>
        </w:rPr>
      </w:pPr>
      <w:r>
        <w:rPr>
          <w:rFonts w:ascii="仿宋_GB2312" w:eastAsia="仿宋_GB2312" w:hAnsi="Arial" w:hint="eastAsia"/>
          <w:sz w:val="32"/>
        </w:rPr>
        <w:t>根据风险系数公式，风险系数范围为</w:t>
      </w:r>
      <w:r>
        <w:rPr>
          <w:rFonts w:ascii="仿宋_GB2312" w:eastAsia="仿宋_GB2312" w:hAnsi="Arial" w:hint="eastAsia"/>
          <w:sz w:val="32"/>
        </w:rPr>
        <w:t>[</w:t>
      </w:r>
      <w:r>
        <w:rPr>
          <w:rFonts w:ascii="仿宋_GB2312" w:eastAsia="仿宋_GB2312" w:hAnsi="Arial"/>
          <w:sz w:val="32"/>
        </w:rPr>
        <w:t>0,1]</w:t>
      </w:r>
      <w:r>
        <w:rPr>
          <w:rFonts w:ascii="仿宋_GB2312" w:eastAsia="仿宋_GB2312" w:hAnsi="Arial" w:hint="eastAsia"/>
          <w:sz w:val="32"/>
        </w:rPr>
        <w:t>。</w:t>
      </w:r>
    </w:p>
    <w:p w14:paraId="68B19656" w14:textId="77777777" w:rsidR="00061A26" w:rsidRDefault="006B4779">
      <w:pPr>
        <w:spacing w:line="590" w:lineRule="exact"/>
        <w:ind w:firstLine="643"/>
        <w:rPr>
          <w:rFonts w:ascii="楷体_GB2312" w:eastAsia="楷体_GB2312" w:hAnsi="仿宋_GB2312" w:cs="仿宋_GB2312"/>
          <w:b/>
          <w:bCs/>
          <w:sz w:val="32"/>
          <w:szCs w:val="32"/>
        </w:rPr>
      </w:pPr>
      <w:r>
        <w:rPr>
          <w:rFonts w:ascii="楷体_GB2312" w:eastAsia="楷体_GB2312" w:hAnsi="仿宋_GB2312" w:cs="仿宋_GB2312" w:hint="eastAsia"/>
          <w:b/>
          <w:bCs/>
          <w:sz w:val="32"/>
          <w:szCs w:val="32"/>
        </w:rPr>
        <w:t>分级标准：</w:t>
      </w:r>
    </w:p>
    <w:p w14:paraId="7FE159CC" w14:textId="77777777" w:rsidR="00061A26" w:rsidRDefault="006B4779">
      <w:pPr>
        <w:spacing w:line="590" w:lineRule="exact"/>
        <w:ind w:firstLine="640"/>
        <w:rPr>
          <w:rFonts w:ascii="仿宋_GB2312" w:eastAsia="仿宋_GB2312" w:hAnsi="Arial"/>
          <w:sz w:val="32"/>
        </w:rPr>
      </w:pPr>
      <w:r>
        <w:rPr>
          <w:rFonts w:ascii="仿宋_GB2312" w:eastAsia="仿宋_GB2312" w:hAnsi="Arial" w:hint="eastAsia"/>
          <w:sz w:val="32"/>
        </w:rPr>
        <w:t>风险分为</w:t>
      </w:r>
      <w:r>
        <w:rPr>
          <w:rFonts w:ascii="仿宋_GB2312" w:eastAsia="仿宋_GB2312" w:hAnsi="Arial" w:hint="eastAsia"/>
          <w:sz w:val="32"/>
        </w:rPr>
        <w:t>1-</w:t>
      </w:r>
      <w:r>
        <w:rPr>
          <w:rFonts w:ascii="仿宋_GB2312" w:eastAsia="仿宋_GB2312" w:hAnsi="Arial"/>
          <w:sz w:val="32"/>
        </w:rPr>
        <w:t>3</w:t>
      </w:r>
      <w:r>
        <w:rPr>
          <w:rFonts w:ascii="仿宋_GB2312" w:eastAsia="仿宋_GB2312" w:hAnsi="Arial" w:hint="eastAsia"/>
          <w:sz w:val="32"/>
        </w:rPr>
        <w:t>级，分别对应（高</w:t>
      </w:r>
      <w:r>
        <w:rPr>
          <w:rFonts w:ascii="仿宋_GB2312" w:eastAsia="仿宋_GB2312" w:hAnsi="Arial" w:hint="eastAsia"/>
          <w:sz w:val="32"/>
        </w:rPr>
        <w:t>-</w:t>
      </w:r>
      <w:r>
        <w:rPr>
          <w:rFonts w:ascii="仿宋_GB2312" w:eastAsia="仿宋_GB2312" w:hAnsi="Arial" w:hint="eastAsia"/>
          <w:sz w:val="32"/>
        </w:rPr>
        <w:t>中</w:t>
      </w:r>
      <w:r>
        <w:rPr>
          <w:rFonts w:ascii="仿宋_GB2312" w:eastAsia="仿宋_GB2312" w:hAnsi="Arial" w:hint="eastAsia"/>
          <w:sz w:val="32"/>
        </w:rPr>
        <w:t>-</w:t>
      </w:r>
      <w:r>
        <w:rPr>
          <w:rFonts w:ascii="仿宋_GB2312" w:eastAsia="仿宋_GB2312" w:hAnsi="Arial" w:hint="eastAsia"/>
          <w:sz w:val="32"/>
        </w:rPr>
        <w:t>低）。</w:t>
      </w:r>
    </w:p>
    <w:p w14:paraId="033EF148" w14:textId="77777777" w:rsidR="00061A26" w:rsidRDefault="006B4779">
      <w:pPr>
        <w:spacing w:line="590" w:lineRule="exact"/>
        <w:ind w:firstLineChars="200" w:firstLine="643"/>
        <w:rPr>
          <w:rFonts w:ascii="楷体_GB2312" w:eastAsia="楷体_GB2312" w:hAnsi="仿宋_GB2312" w:cs="仿宋_GB2312"/>
          <w:b/>
          <w:bCs/>
          <w:sz w:val="32"/>
          <w:szCs w:val="32"/>
        </w:rPr>
      </w:pPr>
      <w:r>
        <w:rPr>
          <w:rFonts w:ascii="楷体_GB2312" w:eastAsia="楷体_GB2312" w:hAnsi="仿宋_GB2312" w:cs="仿宋_GB2312" w:hint="eastAsia"/>
          <w:b/>
          <w:bCs/>
          <w:sz w:val="32"/>
          <w:szCs w:val="32"/>
        </w:rPr>
        <w:t>（二）风险识别</w:t>
      </w:r>
    </w:p>
    <w:p w14:paraId="20BB0889" w14:textId="77777777" w:rsidR="00061A26" w:rsidRDefault="006B4779">
      <w:pPr>
        <w:spacing w:line="590" w:lineRule="exact"/>
        <w:ind w:firstLineChars="200"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由风险</w:t>
      </w:r>
      <w:proofErr w:type="gramEnd"/>
      <w:r>
        <w:rPr>
          <w:rFonts w:ascii="仿宋_GB2312" w:eastAsia="仿宋_GB2312" w:hAnsi="仿宋_GB2312" w:cs="仿宋_GB2312" w:hint="eastAsia"/>
          <w:sz w:val="32"/>
          <w:szCs w:val="32"/>
        </w:rPr>
        <w:t>评估工作小组牵头，对单位层面和六大经济活动相关风险进行识别，并将风险评估调研表下发至各关键岗位进行梳理，找出已暴露或者潜在的固有风险，并按照风险评估标准进行判定，并初步制定相应防控措施。</w:t>
      </w:r>
    </w:p>
    <w:p w14:paraId="42433E26" w14:textId="77777777" w:rsidR="00061A26" w:rsidRDefault="006B4779">
      <w:pPr>
        <w:spacing w:line="590" w:lineRule="exact"/>
        <w:ind w:firstLineChars="200"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各风险</w:t>
      </w:r>
      <w:proofErr w:type="gramEnd"/>
      <w:r>
        <w:rPr>
          <w:rFonts w:ascii="仿宋_GB2312" w:eastAsia="仿宋_GB2312" w:hAnsi="仿宋_GB2312" w:cs="仿宋_GB2312" w:hint="eastAsia"/>
          <w:sz w:val="32"/>
          <w:szCs w:val="32"/>
        </w:rPr>
        <w:t>评估工作小组成员对风险评估调研表进行初审，整理出“风险清单”上报领导小组。</w:t>
      </w:r>
    </w:p>
    <w:p w14:paraId="28B40223" w14:textId="77777777" w:rsidR="00061A26" w:rsidRDefault="006B4779">
      <w:pPr>
        <w:spacing w:line="590" w:lineRule="exact"/>
        <w:ind w:firstLineChars="200" w:firstLine="643"/>
        <w:rPr>
          <w:rFonts w:ascii="楷体_GB2312" w:eastAsia="楷体_GB2312" w:hAnsi="仿宋_GB2312" w:cs="仿宋_GB2312"/>
          <w:b/>
          <w:bCs/>
          <w:sz w:val="32"/>
          <w:szCs w:val="32"/>
        </w:rPr>
      </w:pPr>
      <w:r>
        <w:rPr>
          <w:rFonts w:ascii="楷体_GB2312" w:eastAsia="楷体_GB2312" w:hAnsi="仿宋_GB2312" w:cs="仿宋_GB2312" w:hint="eastAsia"/>
          <w:b/>
          <w:bCs/>
          <w:sz w:val="32"/>
          <w:szCs w:val="32"/>
        </w:rPr>
        <w:lastRenderedPageBreak/>
        <w:t>（三）风险分析与评估</w:t>
      </w:r>
    </w:p>
    <w:p w14:paraId="1CC2B363"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风险分析，是对已识别的风险运用因果分析法、事故调查法、专家评议法等，分析风险发生的可能性及影响后果，并衡量风险危害大小。</w:t>
      </w:r>
    </w:p>
    <w:p w14:paraId="7468990E"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关注风险之间的关系分析，以便从应对风险策略上对风险进行统一集中管理。</w:t>
      </w:r>
    </w:p>
    <w:p w14:paraId="6BC4A1D9" w14:textId="77777777" w:rsidR="00061A26" w:rsidRDefault="006B4779">
      <w:pPr>
        <w:spacing w:line="590" w:lineRule="exact"/>
        <w:ind w:firstLineChars="200" w:firstLine="643"/>
        <w:rPr>
          <w:rFonts w:ascii="楷体_GB2312" w:eastAsia="楷体_GB2312" w:hAnsi="仿宋_GB2312" w:cs="仿宋_GB2312"/>
          <w:b/>
          <w:bCs/>
          <w:sz w:val="32"/>
          <w:szCs w:val="32"/>
        </w:rPr>
      </w:pPr>
      <w:r>
        <w:rPr>
          <w:rFonts w:ascii="楷体_GB2312" w:eastAsia="楷体_GB2312" w:hAnsi="仿宋_GB2312" w:cs="仿宋_GB2312" w:hint="eastAsia"/>
          <w:b/>
          <w:bCs/>
          <w:sz w:val="32"/>
          <w:szCs w:val="32"/>
        </w:rPr>
        <w:t>（四）风险应对</w:t>
      </w:r>
    </w:p>
    <w:p w14:paraId="7181F418"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按照风险识别与分析，</w:t>
      </w:r>
      <w:proofErr w:type="gramStart"/>
      <w:r>
        <w:rPr>
          <w:rFonts w:ascii="仿宋_GB2312" w:eastAsia="仿宋_GB2312" w:hAnsi="仿宋_GB2312" w:cs="仿宋_GB2312" w:hint="eastAsia"/>
          <w:sz w:val="32"/>
          <w:szCs w:val="32"/>
        </w:rPr>
        <w:t>由风险</w:t>
      </w:r>
      <w:proofErr w:type="gramEnd"/>
      <w:r>
        <w:rPr>
          <w:rFonts w:ascii="仿宋_GB2312" w:eastAsia="仿宋_GB2312" w:hAnsi="仿宋_GB2312" w:cs="仿宋_GB2312" w:hint="eastAsia"/>
          <w:sz w:val="32"/>
          <w:szCs w:val="32"/>
        </w:rPr>
        <w:t>评估工作小组对风险进行梳理，针对不同级别的风险采取不同的控制措施。</w:t>
      </w:r>
    </w:p>
    <w:p w14:paraId="217E3D13"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针对低风险区域：承担该区域中的各项风险且不再增加控制措施；。</w:t>
      </w:r>
    </w:p>
    <w:p w14:paraId="02F9BB3A"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针对中风险区域：严格控制该区域中的各项风险且专门补充制定各项控制措施；</w:t>
      </w:r>
    </w:p>
    <w:p w14:paraId="419051D3"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针对高风险区域：确保规避和转移该区域中的各项风险且优先安排实施各项防范措施；。</w:t>
      </w:r>
    </w:p>
    <w:p w14:paraId="589FD682" w14:textId="77777777" w:rsidR="00061A26" w:rsidRDefault="006B4779">
      <w:pPr>
        <w:spacing w:line="590" w:lineRule="exact"/>
        <w:ind w:firstLineChars="200" w:firstLine="643"/>
        <w:rPr>
          <w:rFonts w:ascii="楷体_GB2312" w:eastAsia="楷体_GB2312" w:hAnsi="仿宋_GB2312" w:cs="仿宋_GB2312"/>
          <w:b/>
          <w:bCs/>
          <w:sz w:val="32"/>
          <w:szCs w:val="32"/>
        </w:rPr>
      </w:pPr>
      <w:r>
        <w:rPr>
          <w:rFonts w:ascii="楷体_GB2312" w:eastAsia="楷体_GB2312" w:hAnsi="仿宋_GB2312" w:cs="仿宋_GB2312" w:hint="eastAsia"/>
          <w:b/>
          <w:bCs/>
          <w:sz w:val="32"/>
          <w:szCs w:val="32"/>
        </w:rPr>
        <w:t>（五）形成报告</w:t>
      </w:r>
    </w:p>
    <w:p w14:paraId="06F51551" w14:textId="77777777" w:rsidR="00061A26" w:rsidRDefault="006B4779">
      <w:pPr>
        <w:spacing w:line="590" w:lineRule="exact"/>
        <w:ind w:firstLineChars="200"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由风险</w:t>
      </w:r>
      <w:proofErr w:type="gramEnd"/>
      <w:r>
        <w:rPr>
          <w:rFonts w:ascii="仿宋_GB2312" w:eastAsia="仿宋_GB2312" w:hAnsi="仿宋_GB2312" w:cs="仿宋_GB2312" w:hint="eastAsia"/>
          <w:sz w:val="32"/>
          <w:szCs w:val="32"/>
        </w:rPr>
        <w:t>评估工作小组成员对工作小组收集整理后的风险清单进行汇总分析，形成报告后报组长审查。</w:t>
      </w:r>
    </w:p>
    <w:p w14:paraId="033F80F9" w14:textId="77777777" w:rsidR="00061A26" w:rsidRDefault="006B4779">
      <w:pPr>
        <w:numPr>
          <w:ilvl w:val="0"/>
          <w:numId w:val="1"/>
        </w:numPr>
        <w:spacing w:line="590" w:lineRule="exact"/>
        <w:ind w:firstLineChars="200" w:firstLine="640"/>
        <w:rPr>
          <w:rFonts w:ascii="黑体" w:eastAsia="黑体" w:hAnsi="黑体" w:cs="黑体"/>
          <w:sz w:val="32"/>
          <w:szCs w:val="32"/>
        </w:rPr>
      </w:pPr>
      <w:r>
        <w:rPr>
          <w:rFonts w:ascii="黑体" w:eastAsia="黑体" w:hAnsi="黑体" w:cs="黑体" w:hint="eastAsia"/>
          <w:sz w:val="32"/>
          <w:szCs w:val="32"/>
        </w:rPr>
        <w:t>风险评估情况及防控措施</w:t>
      </w:r>
    </w:p>
    <w:p w14:paraId="36437AF1" w14:textId="77777777" w:rsidR="00061A26" w:rsidRDefault="006B4779">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总体而言，单位重要经济活动风险总体可控，但还存在一些不足和缺陷，根据风险分级，此次评估过程中对</w:t>
      </w:r>
      <w:proofErr w:type="gramStart"/>
      <w:r>
        <w:rPr>
          <w:rFonts w:ascii="仿宋_GB2312" w:eastAsia="仿宋_GB2312" w:hAnsi="仿宋_GB2312" w:cs="仿宋_GB2312" w:hint="eastAsia"/>
          <w:sz w:val="32"/>
          <w:szCs w:val="32"/>
        </w:rPr>
        <w:t>各风险</w:t>
      </w:r>
      <w:proofErr w:type="gramEnd"/>
      <w:r>
        <w:rPr>
          <w:rFonts w:ascii="仿宋_GB2312" w:eastAsia="仿宋_GB2312" w:hAnsi="仿宋_GB2312" w:cs="仿宋_GB2312" w:hint="eastAsia"/>
          <w:sz w:val="32"/>
          <w:szCs w:val="32"/>
        </w:rPr>
        <w:t>点都制定</w:t>
      </w:r>
      <w:r>
        <w:rPr>
          <w:rFonts w:ascii="仿宋_GB2312" w:eastAsia="仿宋_GB2312" w:hAnsi="仿宋_GB2312" w:cs="仿宋_GB2312" w:hint="eastAsia"/>
          <w:sz w:val="32"/>
          <w:szCs w:val="32"/>
        </w:rPr>
        <w:lastRenderedPageBreak/>
        <w:t>了初步的防控措施设计。在单位层面，需要加强机构设置的优化，相关机制的建立健全，关键岗位的设置和权责的明晰、不相容岗位的分离，和人员胜任力的考评与培训提高，信息技术的推广应用；在业务层面，需要加强对外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性相关政策文件的收集，整理和学习，对照相关外部合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性的要求，根据单位实际建立健全相关制</w:t>
      </w:r>
      <w:r>
        <w:rPr>
          <w:rFonts w:ascii="仿宋_GB2312" w:eastAsia="仿宋_GB2312" w:hAnsi="仿宋_GB2312" w:cs="仿宋_GB2312" w:hint="eastAsia"/>
          <w:sz w:val="32"/>
          <w:szCs w:val="32"/>
        </w:rPr>
        <w:t>度体系，加强对业务流程的梳理，确保各主责部门，控制岗位权责明确，边界划分清晰，相关控制文档齐全，控制依据充分，审核审批过程完备。</w:t>
      </w:r>
    </w:p>
    <w:p w14:paraId="55D04904" w14:textId="77777777" w:rsidR="00061A26" w:rsidRDefault="006B4779">
      <w:pPr>
        <w:numPr>
          <w:ilvl w:val="0"/>
          <w:numId w:val="1"/>
        </w:numPr>
        <w:spacing w:line="590" w:lineRule="exact"/>
        <w:ind w:firstLineChars="200" w:firstLine="640"/>
        <w:rPr>
          <w:rFonts w:ascii="黑体" w:eastAsia="黑体" w:hAnsi="黑体" w:cs="黑体"/>
          <w:sz w:val="32"/>
          <w:szCs w:val="32"/>
        </w:rPr>
      </w:pPr>
      <w:r>
        <w:rPr>
          <w:rFonts w:ascii="黑体" w:eastAsia="黑体" w:hAnsi="黑体" w:cs="黑体" w:hint="eastAsia"/>
          <w:sz w:val="32"/>
          <w:szCs w:val="32"/>
        </w:rPr>
        <w:t>风险评估应用</w:t>
      </w:r>
    </w:p>
    <w:p w14:paraId="328E0AA7" w14:textId="77777777" w:rsidR="00061A26" w:rsidRDefault="006B4779">
      <w:pPr>
        <w:spacing w:line="590" w:lineRule="exact"/>
        <w:ind w:firstLineChars="200" w:firstLine="640"/>
      </w:pPr>
      <w:r>
        <w:rPr>
          <w:rFonts w:ascii="仿宋_GB2312" w:eastAsia="仿宋_GB2312" w:hAnsi="仿宋_GB2312" w:cs="仿宋_GB2312" w:hint="eastAsia"/>
          <w:sz w:val="32"/>
          <w:szCs w:val="32"/>
        </w:rPr>
        <w:t>内控牵头部门组织各</w:t>
      </w:r>
      <w:r>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负责人按照风险评估结果对单位层面和业务层面风险点进行再次梳理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通过对机构设置的优化和以及相关制度和流程的建立健全，对相关控制措施落实落地，对相关风险进行有针对性的管控，确保相关风险得到有效的控制。</w:t>
      </w:r>
    </w:p>
    <w:p w14:paraId="0E3B673D" w14:textId="77777777" w:rsidR="00061A26" w:rsidRDefault="00061A26">
      <w:pPr>
        <w:pStyle w:val="2"/>
      </w:pPr>
    </w:p>
    <w:p w14:paraId="17F435FA" w14:textId="77777777" w:rsidR="00061A26" w:rsidRDefault="00061A26"/>
    <w:p w14:paraId="0EC76EBF" w14:textId="77777777" w:rsidR="00061A26" w:rsidRDefault="00061A26">
      <w:pPr>
        <w:pStyle w:val="2"/>
      </w:pPr>
    </w:p>
    <w:sectPr w:rsidR="00061A26">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小标宋简体">
    <w:altName w:val="Arial Unicode MS"/>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3A4B3E"/>
    <w:multiLevelType w:val="singleLevel"/>
    <w:tmpl w:val="F53A4B3E"/>
    <w:lvl w:ilvl="0">
      <w:start w:val="1"/>
      <w:numFmt w:val="chineseCounting"/>
      <w:suff w:val="nothing"/>
      <w:lvlText w:val="%1、"/>
      <w:lvlJc w:val="left"/>
      <w:rPr>
        <w:rFonts w:hint="eastAsia"/>
      </w:rPr>
    </w:lvl>
  </w:abstractNum>
  <w:abstractNum w:abstractNumId="1" w15:restartNumberingAfterBreak="0">
    <w:nsid w:val="3C86645F"/>
    <w:multiLevelType w:val="singleLevel"/>
    <w:tmpl w:val="3C86645F"/>
    <w:lvl w:ilvl="0">
      <w:start w:val="1"/>
      <w:numFmt w:val="chineseCounting"/>
      <w:suff w:val="nothing"/>
      <w:lvlText w:val="（%1）"/>
      <w:lvlJc w:val="left"/>
      <w:rPr>
        <w:rFonts w:hint="eastAsia"/>
      </w:rPr>
    </w:lvl>
  </w:abstractNum>
  <w:num w:numId="1" w16cid:durableId="682125192">
    <w:abstractNumId w:val="0"/>
  </w:num>
  <w:num w:numId="2" w16cid:durableId="512915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FhNDE5ODdjNGRkYTAzMGNhZTllZDMxYzZmNDRhM2IifQ=="/>
  </w:docVars>
  <w:rsids>
    <w:rsidRoot w:val="0071423A"/>
    <w:rsid w:val="00010285"/>
    <w:rsid w:val="000551A0"/>
    <w:rsid w:val="00061A26"/>
    <w:rsid w:val="0018678F"/>
    <w:rsid w:val="003567E7"/>
    <w:rsid w:val="00377304"/>
    <w:rsid w:val="003D2BF2"/>
    <w:rsid w:val="00437750"/>
    <w:rsid w:val="004C787A"/>
    <w:rsid w:val="004F5670"/>
    <w:rsid w:val="00502D19"/>
    <w:rsid w:val="005636D9"/>
    <w:rsid w:val="00681973"/>
    <w:rsid w:val="006B4779"/>
    <w:rsid w:val="0071423A"/>
    <w:rsid w:val="007E4B5E"/>
    <w:rsid w:val="00852E99"/>
    <w:rsid w:val="00866585"/>
    <w:rsid w:val="008C09FD"/>
    <w:rsid w:val="008E1B25"/>
    <w:rsid w:val="0094085F"/>
    <w:rsid w:val="00996F22"/>
    <w:rsid w:val="009C5402"/>
    <w:rsid w:val="00A349B6"/>
    <w:rsid w:val="00A7660C"/>
    <w:rsid w:val="00B71D3D"/>
    <w:rsid w:val="00B85E83"/>
    <w:rsid w:val="00C74BB6"/>
    <w:rsid w:val="00CD188C"/>
    <w:rsid w:val="00DB414F"/>
    <w:rsid w:val="00E47795"/>
    <w:rsid w:val="00E56F48"/>
    <w:rsid w:val="00FC06B3"/>
    <w:rsid w:val="015B51F4"/>
    <w:rsid w:val="032F1BFF"/>
    <w:rsid w:val="0A57132C"/>
    <w:rsid w:val="0D6D4C5C"/>
    <w:rsid w:val="0E450329"/>
    <w:rsid w:val="0ECD1022"/>
    <w:rsid w:val="1244567D"/>
    <w:rsid w:val="13E662BC"/>
    <w:rsid w:val="14763DCF"/>
    <w:rsid w:val="158D77DD"/>
    <w:rsid w:val="18EE3137"/>
    <w:rsid w:val="222444AE"/>
    <w:rsid w:val="2D3907F9"/>
    <w:rsid w:val="39BC5937"/>
    <w:rsid w:val="43923257"/>
    <w:rsid w:val="456C5726"/>
    <w:rsid w:val="4B466F43"/>
    <w:rsid w:val="54DA0A22"/>
    <w:rsid w:val="55F10550"/>
    <w:rsid w:val="56550CDD"/>
    <w:rsid w:val="5D7A4E55"/>
    <w:rsid w:val="5F525887"/>
    <w:rsid w:val="65C22C88"/>
    <w:rsid w:val="664428E0"/>
    <w:rsid w:val="6D222953"/>
    <w:rsid w:val="739B5403"/>
    <w:rsid w:val="77E45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9EE85"/>
  <w15:docId w15:val="{E4F76B53-85F6-4D2A-B5FF-FC83CB5BF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jc w:val="center"/>
      <w:outlineLvl w:val="1"/>
    </w:pPr>
    <w:rPr>
      <w:rFonts w:ascii="Arial" w:eastAsia="微软雅黑"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355</Words>
  <Characters>2028</Characters>
  <Application>Microsoft Office Word</Application>
  <DocSecurity>0</DocSecurity>
  <Lines>16</Lines>
  <Paragraphs>4</Paragraphs>
  <ScaleCrop>false</ScaleCrop>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内控修订</cp:lastModifiedBy>
  <cp:revision>15</cp:revision>
  <dcterms:created xsi:type="dcterms:W3CDTF">2018-07-28T01:12:00Z</dcterms:created>
  <dcterms:modified xsi:type="dcterms:W3CDTF">2022-05-16T09:31:00Z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KSORubyTemplateID" linkTarget="0">
    <vt:lpwstr>6</vt:lpwstr>
  </property>
  <property fmtid="{D5CDD505-2E9C-101B-9397-08002B2CF9AE}" pid="4" name="ICV">
    <vt:lpwstr>83986F11C0C5489C9ACF1B1FCB7A9556</vt:lpwstr>
  </property>
</Properties>
</file>